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6168D" w14:textId="768BF732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D443F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98C09B2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C5CCFD9" w14:textId="77777777" w:rsidR="00DB3F20" w:rsidRDefault="00821A27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  <w:r w:rsidR="001B655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3F9E9E09" w14:textId="53EC1FF7" w:rsidR="00DB3F20" w:rsidRDefault="00821A27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składane w trybie art.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125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ust.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 xml:space="preserve">5 ustawy z dnia 11 września 2019 r. - Prawo zamówień publicznych </w:t>
      </w:r>
    </w:p>
    <w:p w14:paraId="43218FD1" w14:textId="541A3A1D" w:rsidR="00DB3F20" w:rsidRDefault="006E4287" w:rsidP="00715443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 w:rsidRPr="00164A55">
        <w:rPr>
          <w:rFonts w:ascii="Calibri Light" w:hAnsi="Calibri Light" w:cs="Calibri Light"/>
          <w:b/>
          <w:bCs/>
          <w:iCs/>
          <w:sz w:val="22"/>
          <w:szCs w:val="18"/>
        </w:rPr>
        <w:t>(</w:t>
      </w:r>
      <w:proofErr w:type="spellStart"/>
      <w:r w:rsidRPr="00164A55">
        <w:rPr>
          <w:rFonts w:ascii="Calibri Light" w:hAnsi="Calibri Light" w:cs="Calibri Light"/>
          <w:b/>
          <w:bCs/>
          <w:iCs/>
          <w:sz w:val="22"/>
          <w:szCs w:val="18"/>
        </w:rPr>
        <w:t>t.j</w:t>
      </w:r>
      <w:proofErr w:type="spellEnd"/>
      <w:r w:rsidRPr="00164A55">
        <w:rPr>
          <w:rFonts w:ascii="Calibri Light" w:hAnsi="Calibri Light" w:cs="Calibri Light"/>
          <w:b/>
          <w:bCs/>
          <w:iCs/>
          <w:sz w:val="22"/>
          <w:szCs w:val="18"/>
        </w:rPr>
        <w:t>. Dz. U. z 2024 r. poz. 1320</w:t>
      </w:r>
      <w:r w:rsidR="00CB6813">
        <w:rPr>
          <w:rFonts w:ascii="Calibri Light" w:hAnsi="Calibri Light" w:cs="Calibri Light"/>
          <w:b/>
          <w:bCs/>
          <w:iCs/>
          <w:sz w:val="22"/>
          <w:szCs w:val="18"/>
        </w:rPr>
        <w:t> z </w:t>
      </w:r>
      <w:proofErr w:type="spellStart"/>
      <w:r w:rsidR="00CB6813">
        <w:rPr>
          <w:rFonts w:ascii="Calibri Light" w:hAnsi="Calibri Light" w:cs="Calibri Light"/>
          <w:b/>
          <w:bCs/>
          <w:iCs/>
          <w:sz w:val="22"/>
          <w:szCs w:val="18"/>
        </w:rPr>
        <w:t>późn</w:t>
      </w:r>
      <w:proofErr w:type="spellEnd"/>
      <w:r w:rsidR="00CB6813">
        <w:rPr>
          <w:rFonts w:ascii="Calibri Light" w:hAnsi="Calibri Light" w:cs="Calibri Light"/>
          <w:b/>
          <w:bCs/>
          <w:iCs/>
          <w:sz w:val="22"/>
          <w:szCs w:val="18"/>
        </w:rPr>
        <w:t>. zm.</w:t>
      </w:r>
      <w:r w:rsidRPr="00164A55">
        <w:rPr>
          <w:rFonts w:ascii="Calibri Light" w:hAnsi="Calibri Light" w:cs="Calibri Light"/>
          <w:b/>
          <w:bCs/>
          <w:iCs/>
          <w:sz w:val="22"/>
          <w:szCs w:val="18"/>
        </w:rPr>
        <w:t>)</w:t>
      </w:r>
      <w:r>
        <w:rPr>
          <w:rFonts w:ascii="Calibri Light" w:hAnsi="Calibri Light" w:cs="Calibri Light"/>
          <w:b/>
          <w:bCs/>
          <w:iCs/>
          <w:sz w:val="22"/>
          <w:szCs w:val="18"/>
        </w:rPr>
        <w:t xml:space="preserve"> </w:t>
      </w:r>
      <w:r w:rsidR="00821A27">
        <w:rPr>
          <w:rFonts w:ascii="Calibri Light" w:hAnsi="Calibri Light" w:cs="Calibri Light"/>
          <w:b/>
          <w:lang w:eastAsia="pl-PL"/>
        </w:rPr>
        <w:t>- dalej jako: ustawa PZP</w:t>
      </w:r>
    </w:p>
    <w:p w14:paraId="799728E0" w14:textId="77777777" w:rsidR="00C65FD5" w:rsidRDefault="00C65FD5" w:rsidP="00715443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3708256B" w14:textId="6810E3A4" w:rsidR="00E05DFD" w:rsidRPr="00E05DFD" w:rsidRDefault="00535093" w:rsidP="00E05DFD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bookmarkStart w:id="2" w:name="_Hlk103003010"/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F6B1F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</w:p>
    <w:bookmarkEnd w:id="2"/>
    <w:p w14:paraId="4E904014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0EF720AD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3" w:name="_Hlk9615845"/>
      <w:bookmarkEnd w:id="3"/>
    </w:p>
    <w:p w14:paraId="39AD456B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474CF908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EFA759B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7EA303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2A406C8E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4913B7D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52A3CADA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0A9FFF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44CE4AE0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1B559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8AFFA2A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21D1BD0" w14:textId="4F9BB4CC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373E3E2" w14:textId="77777777" w:rsidR="004D79CB" w:rsidRDefault="004D79CB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1C0CC62" w14:textId="08BA76AA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 xml:space="preserve">przez Wykonawcę* / Wykonawców wspólnie ubiegających się o udzielenie zamówienia*: </w:t>
      </w:r>
    </w:p>
    <w:p w14:paraId="7466FB59" w14:textId="77777777" w:rsidR="00845908" w:rsidRDefault="00845908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C6DB2EE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67761A84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38E433C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25A38D33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60DC3047" w14:textId="24F9BC28" w:rsidR="00F32269" w:rsidRDefault="00F32269" w:rsidP="00FE735E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przez </w:t>
      </w:r>
      <w:r>
        <w:rPr>
          <w:rFonts w:ascii="Calibri Light" w:hAnsi="Calibri Light" w:cs="Calibri Light"/>
          <w:sz w:val="22"/>
          <w:szCs w:val="22"/>
          <w:lang w:eastAsia="pl-PL"/>
        </w:rPr>
        <w:br/>
      </w:r>
      <w:r w:rsidRPr="00F3226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Powiat Nowosądecki - Powiatowy Zarząd Dróg w Nowym Sączu</w:t>
      </w:r>
      <w:r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iCs/>
          <w:sz w:val="22"/>
          <w:szCs w:val="22"/>
          <w:lang w:eastAsia="pl-PL"/>
        </w:rPr>
        <w:t>pn.:</w:t>
      </w:r>
      <w:r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bookmarkStart w:id="4" w:name="_Hlk196217091"/>
      <w:r w:rsidR="00FE735E" w:rsidRPr="00FE735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„</w:t>
      </w:r>
      <w:r w:rsidR="00264A12" w:rsidRPr="00264A12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Przebudowa drogi powiatowej nr 1552 K Tęgoborze – Chomranice w km 3+680,0 – 4+909,0 polegająca na budowie chodnika </w:t>
      </w:r>
      <w:r w:rsidR="00264A12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264A12" w:rsidRPr="00264A12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w m. Chomranice</w:t>
      </w:r>
      <w:r w:rsidR="00FE735E" w:rsidRPr="00FE735E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”</w:t>
      </w:r>
      <w:r w:rsidR="00D542FB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</w:t>
      </w:r>
      <w:r w:rsidR="00D542FB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D542FB">
        <w:rPr>
          <w:rFonts w:ascii="Calibri Light" w:hAnsi="Calibri Light" w:cs="Calibri Light"/>
          <w:b/>
          <w:sz w:val="22"/>
          <w:szCs w:val="22"/>
        </w:rPr>
        <w:t>nr zamówienia: PZD–ZAM.261.</w:t>
      </w:r>
      <w:r w:rsidR="00264A12">
        <w:rPr>
          <w:rFonts w:ascii="Calibri Light" w:hAnsi="Calibri Light" w:cs="Calibri Light"/>
          <w:b/>
          <w:sz w:val="22"/>
          <w:szCs w:val="22"/>
        </w:rPr>
        <w:t>5</w:t>
      </w:r>
      <w:r w:rsidR="00D542FB">
        <w:rPr>
          <w:rFonts w:ascii="Calibri Light" w:hAnsi="Calibri Light" w:cs="Calibri Light"/>
          <w:b/>
          <w:sz w:val="22"/>
          <w:szCs w:val="22"/>
        </w:rPr>
        <w:t>.202</w:t>
      </w:r>
      <w:r w:rsidR="00331C29">
        <w:rPr>
          <w:rFonts w:ascii="Calibri Light" w:hAnsi="Calibri Light" w:cs="Calibri Light"/>
          <w:b/>
          <w:sz w:val="22"/>
          <w:szCs w:val="22"/>
        </w:rPr>
        <w:t>6</w:t>
      </w:r>
      <w:r w:rsidR="00D542FB">
        <w:rPr>
          <w:rFonts w:ascii="Calibri Light" w:hAnsi="Calibri Light" w:cs="Calibri Light"/>
          <w:b/>
          <w:sz w:val="22"/>
          <w:szCs w:val="22"/>
        </w:rPr>
        <w:t>.</w:t>
      </w:r>
      <w:bookmarkEnd w:id="4"/>
      <w:r w:rsidR="00264A12">
        <w:rPr>
          <w:rFonts w:ascii="Calibri Light" w:hAnsi="Calibri Light" w:cs="Calibri Light"/>
          <w:b/>
          <w:sz w:val="22"/>
          <w:szCs w:val="22"/>
        </w:rPr>
        <w:t>WZ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, działając jako podmiot udostępniający mu/im zasoby </w:t>
      </w:r>
      <w:r>
        <w:rPr>
          <w:rFonts w:ascii="Calibri Light" w:hAnsi="Calibri Light" w:cs="Calibri Light"/>
          <w:sz w:val="22"/>
          <w:szCs w:val="22"/>
        </w:rPr>
        <w:t xml:space="preserve">na potrzeby realizacji niniejszego zamówienia zgodnie ze złożonym zobowiązaniem </w:t>
      </w:r>
      <w:r w:rsidR="00264A12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tym przedmiocie niniejszym oświadczam/y iż:</w:t>
      </w:r>
    </w:p>
    <w:p w14:paraId="4BA65EF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  <w:r w:rsidR="00E05DFD" w:rsidRPr="00E05DFD">
        <w:t xml:space="preserve"> </w:t>
      </w:r>
      <w:r w:rsidR="00E05DFD" w:rsidRPr="00E05DFD">
        <w:rPr>
          <w:rFonts w:ascii="Calibri Light" w:hAnsi="Calibri Light" w:cs="Calibri Light"/>
          <w:sz w:val="22"/>
          <w:szCs w:val="22"/>
        </w:rPr>
        <w:t>tj. w następującym zakresie: ……………………………………………………………………………………………………………………………………………….</w:t>
      </w:r>
    </w:p>
    <w:p w14:paraId="4896F523" w14:textId="0334AF2D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1730FD7C" w14:textId="3E17A7FF" w:rsidR="007B59C2" w:rsidRDefault="007B59C2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624728C3" w14:textId="12B91C13" w:rsidR="00DB3F20" w:rsidRPr="00C65FD5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lastRenderedPageBreak/>
        <w:t>1</w:t>
      </w:r>
      <w:r>
        <w:rPr>
          <w:rFonts w:ascii="Calibri Light" w:hAnsi="Calibri Light" w:cs="Calibri Light"/>
          <w:sz w:val="22"/>
          <w:szCs w:val="22"/>
        </w:rPr>
        <w:t>zachodzą do podmiotu podstawy wykluczenia z postępowania na podstawie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pkt … ustawy PZP (podać mającą zastosowanie podstawę wykluczenia spośród wymienionych w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1,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i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5</w:t>
      </w:r>
      <w:r w:rsidR="001B655E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PZP), ale jednocześnie w związku z ww. okolicznością, na </w:t>
      </w:r>
      <w:r w:rsidR="009B6318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podsta</w:t>
      </w:r>
      <w:r w:rsidR="004A4DD4">
        <w:rPr>
          <w:rFonts w:ascii="Calibri Light" w:hAnsi="Calibri Light" w:cs="Calibri Light"/>
          <w:sz w:val="22"/>
          <w:szCs w:val="22"/>
        </w:rPr>
        <w:t xml:space="preserve">wie </w:t>
      </w:r>
      <w:r>
        <w:rPr>
          <w:rFonts w:ascii="Calibri Light" w:hAnsi="Calibri Light" w:cs="Calibri Light"/>
          <w:sz w:val="22"/>
          <w:szCs w:val="22"/>
        </w:rPr>
        <w:t>art.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110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PZP podmiot podjął następujące środki 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……………………………………………………………………..…………………...........…………………………………</w:t>
      </w:r>
    </w:p>
    <w:p w14:paraId="5EF3B401" w14:textId="7B314422" w:rsidR="00C65FD5" w:rsidRPr="00C65FD5" w:rsidRDefault="00C65FD5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 nie podlegam</w:t>
      </w:r>
      <w:r w:rsidR="00E05DFD"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9B631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9B6318">
        <w:rPr>
          <w:rFonts w:ascii="Calibri Light" w:hAnsi="Calibri Light" w:cs="Calibri Light"/>
          <w:bCs/>
          <w:sz w:val="22"/>
          <w:szCs w:val="21"/>
        </w:rPr>
        <w:t>. </w:t>
      </w:r>
      <w:r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9B6318">
        <w:rPr>
          <w:rFonts w:ascii="Calibri Light" w:hAnsi="Calibri Light" w:cs="Calibri Light"/>
          <w:bCs/>
          <w:sz w:val="22"/>
          <w:szCs w:val="21"/>
        </w:rPr>
        <w:t> z </w:t>
      </w:r>
      <w:r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593135">
        <w:rPr>
          <w:rFonts w:ascii="Calibri Light" w:hAnsi="Calibri Light" w:cs="Calibri Light"/>
          <w:bCs/>
          <w:sz w:val="22"/>
          <w:szCs w:val="21"/>
        </w:rPr>
        <w:t>5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9B6318">
        <w:rPr>
          <w:rFonts w:ascii="Calibri Light" w:hAnsi="Calibri Light" w:cs="Calibri Light"/>
          <w:bCs/>
          <w:sz w:val="22"/>
          <w:szCs w:val="21"/>
        </w:rPr>
        <w:br/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="00E42D7F">
        <w:rPr>
          <w:rFonts w:ascii="Calibri Light" w:hAnsi="Calibri Light" w:cs="Calibri Light"/>
          <w:bCs/>
          <w:sz w:val="22"/>
          <w:szCs w:val="21"/>
        </w:rPr>
        <w:t>5</w:t>
      </w:r>
      <w:r w:rsidR="00593135">
        <w:rPr>
          <w:rFonts w:ascii="Calibri Light" w:hAnsi="Calibri Light" w:cs="Calibri Light"/>
          <w:bCs/>
          <w:sz w:val="22"/>
          <w:szCs w:val="21"/>
        </w:rPr>
        <w:t>14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5" w:name="_Hlk103003034"/>
      <w:r w:rsidR="00E05D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5"/>
      <w:r w:rsidR="00E05DFD">
        <w:rPr>
          <w:rFonts w:ascii="Calibri Light" w:hAnsi="Calibri Light" w:cs="Calibri Light"/>
          <w:bCs/>
          <w:sz w:val="22"/>
          <w:szCs w:val="21"/>
        </w:rPr>
        <w:t>.</w:t>
      </w:r>
    </w:p>
    <w:p w14:paraId="464D6B2C" w14:textId="77777777" w:rsidR="00C65FD5" w:rsidRDefault="00C65FD5" w:rsidP="00C65FD5">
      <w:pPr>
        <w:pStyle w:val="Akapitzlist"/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315448A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F3158A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658DF379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845908">
      <w:headerReference w:type="default" r:id="rId8"/>
      <w:footerReference w:type="default" r:id="rId9"/>
      <w:pgSz w:w="11906" w:h="16838"/>
      <w:pgMar w:top="993" w:right="1417" w:bottom="709" w:left="1417" w:header="426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85555" w14:textId="77777777" w:rsidR="000C0609" w:rsidRDefault="000C0609">
      <w:r>
        <w:separator/>
      </w:r>
    </w:p>
  </w:endnote>
  <w:endnote w:type="continuationSeparator" w:id="0">
    <w:p w14:paraId="420D6365" w14:textId="77777777" w:rsidR="000C0609" w:rsidRDefault="000C0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9E06" w14:textId="77777777" w:rsidR="003D4783" w:rsidRDefault="003D4783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D4783" w14:paraId="0B0D34F5" w14:textId="77777777" w:rsidTr="003D47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DFE354E" w14:textId="77777777" w:rsidR="003D4783" w:rsidRDefault="003D4783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C4FC52F" w14:textId="77777777" w:rsidR="003D4783" w:rsidRDefault="003D4783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B4C595E" w14:textId="77777777" w:rsidR="003D4783" w:rsidRDefault="003D4783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5372C1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F54ECA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4B54B43" w14:textId="77777777" w:rsidR="003D4783" w:rsidRPr="00821A27" w:rsidRDefault="003D4783" w:rsidP="0082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30816" w14:textId="77777777" w:rsidR="000C0609" w:rsidRDefault="000C0609">
      <w:pPr>
        <w:rPr>
          <w:sz w:val="12"/>
        </w:rPr>
      </w:pPr>
      <w:r>
        <w:separator/>
      </w:r>
    </w:p>
  </w:footnote>
  <w:footnote w:type="continuationSeparator" w:id="0">
    <w:p w14:paraId="2323AE09" w14:textId="77777777" w:rsidR="000C0609" w:rsidRDefault="000C0609">
      <w:pPr>
        <w:rPr>
          <w:sz w:val="12"/>
        </w:rPr>
      </w:pPr>
      <w:r>
        <w:continuationSeparator/>
      </w:r>
    </w:p>
  </w:footnote>
  <w:footnote w:id="1">
    <w:p w14:paraId="48976349" w14:textId="77777777" w:rsidR="003D4783" w:rsidRPr="00821A27" w:rsidRDefault="003D4783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72C8B13F" w14:textId="089DC376" w:rsidR="00F92A14" w:rsidRPr="00F92A14" w:rsidRDefault="00E05DFD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="00F92A14"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proofErr w:type="spellStart"/>
      <w:r w:rsidR="00F92A14"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proofErr w:type="spellEnd"/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="00F92A14"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844B3E7" w14:textId="24D7BAE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EB65BB1" w14:textId="4978952D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przeciwdziałaniu praniu pieniędzy oraz finansowaniu terroryzmu </w:t>
      </w:r>
      <w:r w:rsidR="005A55FA" w:rsidRPr="005A55FA">
        <w:rPr>
          <w:rFonts w:ascii="Calibri Light" w:hAnsi="Calibri Light" w:cs="Calibri Light"/>
          <w:color w:val="222222"/>
          <w:sz w:val="16"/>
          <w:szCs w:val="16"/>
        </w:rPr>
        <w:t>(</w:t>
      </w:r>
      <w:proofErr w:type="spellStart"/>
      <w:r w:rsidR="005A55FA" w:rsidRPr="005A55FA">
        <w:rPr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5A55FA" w:rsidRPr="005A55FA">
        <w:rPr>
          <w:rFonts w:ascii="Calibri Light" w:hAnsi="Calibri Light" w:cs="Calibri Light"/>
          <w:color w:val="222222"/>
          <w:sz w:val="16"/>
          <w:szCs w:val="16"/>
        </w:rPr>
        <w:t>. Dz. U. z 2025 r. poz. 644)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 xml:space="preserve">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w wykazach określonych </w:t>
      </w:r>
      <w:r w:rsidR="005A55FA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o zastosowaniu środka,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4E866AC" w14:textId="295FB44A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120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72B7B85C" w14:textId="77777777" w:rsidR="00E05DFD" w:rsidRDefault="00E05DFD" w:rsidP="00F92A14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0D28A67F" w14:textId="77777777" w:rsidR="00E05DFD" w:rsidRDefault="00E05D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71"/>
      <w:gridCol w:w="8139"/>
    </w:tblGrid>
    <w:tr w:rsidR="00D542FB" w:rsidRPr="00620017" w14:paraId="5D79E05A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0A7353F" w14:textId="1CB64288" w:rsidR="00D542FB" w:rsidRPr="00620017" w:rsidRDefault="00D542FB" w:rsidP="00D542FB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bookmarkStart w:id="28" w:name="_Hlk193446676"/>
          <w:bookmarkStart w:id="29" w:name="_Hlk193446677"/>
          <w:bookmarkStart w:id="30" w:name="_Hlk193446679"/>
          <w:bookmarkStart w:id="31" w:name="_Hlk193446680"/>
          <w:bookmarkStart w:id="32" w:name="_Hlk193446681"/>
          <w:bookmarkStart w:id="33" w:name="_Hlk193446682"/>
          <w:bookmarkStart w:id="34" w:name="_Hlk193446684"/>
          <w:bookmarkStart w:id="35" w:name="_Hlk193446685"/>
          <w:bookmarkStart w:id="36" w:name="_Hlk193446688"/>
          <w:bookmarkStart w:id="37" w:name="_Hlk193446689"/>
          <w:bookmarkStart w:id="38" w:name="_Hlk193446693"/>
          <w:bookmarkStart w:id="39" w:name="_Hlk193446694"/>
          <w:bookmarkStart w:id="40" w:name="_Hlk193446696"/>
          <w:bookmarkStart w:id="41" w:name="_Hlk193446697"/>
          <w:bookmarkStart w:id="42" w:name="_Hlk193468997"/>
          <w:bookmarkStart w:id="43" w:name="_Hlk193468998"/>
          <w:bookmarkStart w:id="44" w:name="_Hlk193469007"/>
          <w:bookmarkStart w:id="45" w:name="_Hlk193469008"/>
          <w:bookmarkStart w:id="46" w:name="_Hlk193469017"/>
          <w:bookmarkStart w:id="47" w:name="_Hlk193469018"/>
          <w:bookmarkStart w:id="48" w:name="_Hlk193469027"/>
          <w:bookmarkStart w:id="49" w:name="_Hlk193469028"/>
          <w:bookmarkStart w:id="50" w:name="_Hlk193469039"/>
          <w:bookmarkStart w:id="51" w:name="_Hlk193469040"/>
          <w:bookmarkStart w:id="52" w:name="_Hlk193469049"/>
          <w:bookmarkStart w:id="53" w:name="_Hlk193469050"/>
          <w:bookmarkStart w:id="54" w:name="_Hlk193469069"/>
          <w:bookmarkStart w:id="55" w:name="_Hlk193469070"/>
          <w:bookmarkStart w:id="56" w:name="_Hlk193793550"/>
          <w:bookmarkStart w:id="57" w:name="_Hlk193793551"/>
          <w:bookmarkStart w:id="58" w:name="_Hlk198060032"/>
          <w:bookmarkStart w:id="59" w:name="_Hlk198060033"/>
          <w:bookmarkStart w:id="60" w:name="_Hlk198060036"/>
          <w:bookmarkStart w:id="61" w:name="_Hlk198060037"/>
          <w:bookmarkStart w:id="62" w:name="_Hlk198060042"/>
          <w:bookmarkStart w:id="63" w:name="_Hlk198060043"/>
          <w:bookmarkStart w:id="64" w:name="_Hlk198060048"/>
          <w:bookmarkStart w:id="65" w:name="_Hlk198060049"/>
          <w:bookmarkStart w:id="66" w:name="_Hlk198060061"/>
          <w:bookmarkStart w:id="67" w:name="_Hlk198060062"/>
          <w:bookmarkStart w:id="68" w:name="_Hlk198060067"/>
          <w:bookmarkStart w:id="69" w:name="_Hlk198060068"/>
          <w:bookmarkStart w:id="70" w:name="_Hlk198060075"/>
          <w:bookmarkStart w:id="71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264A1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331C29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264A1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9B26FDA" w14:textId="63AE63AB" w:rsidR="00D542FB" w:rsidRPr="00264A12" w:rsidRDefault="00264A12" w:rsidP="00D542FB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sz w:val="12"/>
              <w:szCs w:val="12"/>
              <w:lang w:eastAsia="en-GB"/>
            </w:rPr>
          </w:pPr>
          <w:r w:rsidRPr="00264A12">
            <w:rPr>
              <w:rFonts w:ascii="Calibri Light" w:eastAsia="Calibri" w:hAnsi="Calibri Light" w:cs="Calibri"/>
              <w:iCs/>
              <w:sz w:val="12"/>
              <w:szCs w:val="12"/>
              <w:lang w:eastAsia="en-GB"/>
            </w:rPr>
            <w:t>Przebudowa drogi powiatowej nr 1552 K Tęgoborze – Chomranice w km 3+680,0 – 4+909,0 polegająca na budowie chodnika w m. Chomranice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</w:tbl>
  <w:p w14:paraId="2AC183C5" w14:textId="77777777" w:rsidR="003D4783" w:rsidRPr="00D542FB" w:rsidRDefault="003D4783" w:rsidP="00D542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0718834">
    <w:abstractNumId w:val="1"/>
  </w:num>
  <w:num w:numId="2" w16cid:durableId="121457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revisionView w:inkAnnotation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0A4E8A"/>
    <w:rsid w:val="000C0609"/>
    <w:rsid w:val="001347CD"/>
    <w:rsid w:val="001464A6"/>
    <w:rsid w:val="001A2015"/>
    <w:rsid w:val="001A6D85"/>
    <w:rsid w:val="001A7B60"/>
    <w:rsid w:val="001B655E"/>
    <w:rsid w:val="001D2E17"/>
    <w:rsid w:val="0021355B"/>
    <w:rsid w:val="00224E53"/>
    <w:rsid w:val="00264A12"/>
    <w:rsid w:val="00265DD2"/>
    <w:rsid w:val="00286638"/>
    <w:rsid w:val="00286857"/>
    <w:rsid w:val="00304FF7"/>
    <w:rsid w:val="00331C29"/>
    <w:rsid w:val="00363942"/>
    <w:rsid w:val="003D4783"/>
    <w:rsid w:val="003F6B1F"/>
    <w:rsid w:val="00404983"/>
    <w:rsid w:val="00417D94"/>
    <w:rsid w:val="004229C6"/>
    <w:rsid w:val="004326F4"/>
    <w:rsid w:val="004858F8"/>
    <w:rsid w:val="004A4DD4"/>
    <w:rsid w:val="004D79CB"/>
    <w:rsid w:val="004F1F4B"/>
    <w:rsid w:val="00535093"/>
    <w:rsid w:val="005372C1"/>
    <w:rsid w:val="00537979"/>
    <w:rsid w:val="00551337"/>
    <w:rsid w:val="0056215F"/>
    <w:rsid w:val="00593135"/>
    <w:rsid w:val="005A55FA"/>
    <w:rsid w:val="00684242"/>
    <w:rsid w:val="00685824"/>
    <w:rsid w:val="006A18B0"/>
    <w:rsid w:val="006D7475"/>
    <w:rsid w:val="006E4287"/>
    <w:rsid w:val="006F1B4A"/>
    <w:rsid w:val="00715443"/>
    <w:rsid w:val="00736BB9"/>
    <w:rsid w:val="00744D09"/>
    <w:rsid w:val="00766A88"/>
    <w:rsid w:val="00774AC7"/>
    <w:rsid w:val="007B59C2"/>
    <w:rsid w:val="007C7F89"/>
    <w:rsid w:val="007D402A"/>
    <w:rsid w:val="007F4EA2"/>
    <w:rsid w:val="0080244C"/>
    <w:rsid w:val="00806D48"/>
    <w:rsid w:val="00821A27"/>
    <w:rsid w:val="008437AD"/>
    <w:rsid w:val="00845908"/>
    <w:rsid w:val="008D625F"/>
    <w:rsid w:val="008E38A4"/>
    <w:rsid w:val="00905D28"/>
    <w:rsid w:val="00921F0F"/>
    <w:rsid w:val="009551E3"/>
    <w:rsid w:val="00955D36"/>
    <w:rsid w:val="00972830"/>
    <w:rsid w:val="00974C7F"/>
    <w:rsid w:val="009A3620"/>
    <w:rsid w:val="009B6318"/>
    <w:rsid w:val="009D231B"/>
    <w:rsid w:val="00A06E7A"/>
    <w:rsid w:val="00A41D61"/>
    <w:rsid w:val="00A700B8"/>
    <w:rsid w:val="00A72AE8"/>
    <w:rsid w:val="00A77E31"/>
    <w:rsid w:val="00AB1C2F"/>
    <w:rsid w:val="00AB52F8"/>
    <w:rsid w:val="00AC5A3D"/>
    <w:rsid w:val="00AE7B52"/>
    <w:rsid w:val="00AF2E91"/>
    <w:rsid w:val="00B80F3F"/>
    <w:rsid w:val="00BB2E8D"/>
    <w:rsid w:val="00C0510E"/>
    <w:rsid w:val="00C172D4"/>
    <w:rsid w:val="00C3105D"/>
    <w:rsid w:val="00C65FD5"/>
    <w:rsid w:val="00CB6813"/>
    <w:rsid w:val="00CC5486"/>
    <w:rsid w:val="00CE5D50"/>
    <w:rsid w:val="00D342D7"/>
    <w:rsid w:val="00D45D6E"/>
    <w:rsid w:val="00D542FB"/>
    <w:rsid w:val="00DB3F20"/>
    <w:rsid w:val="00DD04CF"/>
    <w:rsid w:val="00DD60A6"/>
    <w:rsid w:val="00DE64C9"/>
    <w:rsid w:val="00E05DFD"/>
    <w:rsid w:val="00E42D7F"/>
    <w:rsid w:val="00E46AC9"/>
    <w:rsid w:val="00E7225C"/>
    <w:rsid w:val="00EA1D31"/>
    <w:rsid w:val="00ED443F"/>
    <w:rsid w:val="00F32269"/>
    <w:rsid w:val="00F53A1F"/>
    <w:rsid w:val="00F54ECA"/>
    <w:rsid w:val="00F92A14"/>
    <w:rsid w:val="00FA57D3"/>
    <w:rsid w:val="00FB7C92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DC10E"/>
  <w15:docId w15:val="{01723DC5-68A2-45B7-AE9F-F8E73082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DD60A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DD60A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DD60A6"/>
  </w:style>
  <w:style w:type="character" w:customStyle="1" w:styleId="Znakiprzypiswkocowych">
    <w:name w:val="Znaki przypisów końcowych"/>
    <w:qFormat/>
    <w:rsid w:val="00DD60A6"/>
  </w:style>
  <w:style w:type="character" w:customStyle="1" w:styleId="Tekstpodstawowywcity2Znak">
    <w:name w:val="Tekst podstawowy wcięty 2 Znak"/>
    <w:qFormat/>
    <w:rsid w:val="00DD60A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DD60A6"/>
  </w:style>
  <w:style w:type="character" w:customStyle="1" w:styleId="Nierozpoznanawzmianka1">
    <w:name w:val="Nierozpoznana wzmianka1"/>
    <w:qFormat/>
    <w:rsid w:val="00DD60A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DD60A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DD60A6"/>
    <w:rPr>
      <w:rFonts w:cs="Arial"/>
    </w:rPr>
  </w:style>
  <w:style w:type="paragraph" w:styleId="Legenda">
    <w:name w:val="caption"/>
    <w:basedOn w:val="Normalny"/>
    <w:qFormat/>
    <w:rsid w:val="00DD60A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D60A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60A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DD60A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DD60A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DD60A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E05DFD"/>
    <w:rPr>
      <w:vertAlign w:val="superscript"/>
    </w:rPr>
  </w:style>
  <w:style w:type="paragraph" w:customStyle="1" w:styleId="paragraph">
    <w:name w:val="paragraph"/>
    <w:basedOn w:val="Normalny"/>
    <w:rsid w:val="00E05DFD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superscript">
    <w:name w:val="superscript"/>
    <w:basedOn w:val="Domylnaczcionkaakapitu"/>
    <w:rsid w:val="00E05DFD"/>
  </w:style>
  <w:style w:type="character" w:customStyle="1" w:styleId="normaltextrun">
    <w:name w:val="normaltextrun"/>
    <w:basedOn w:val="Domylnaczcionkaakapitu"/>
    <w:rsid w:val="00E05DFD"/>
  </w:style>
  <w:style w:type="character" w:customStyle="1" w:styleId="spellingerror">
    <w:name w:val="spellingerror"/>
    <w:basedOn w:val="Domylnaczcionkaakapitu"/>
    <w:rsid w:val="00E05DFD"/>
  </w:style>
  <w:style w:type="character" w:customStyle="1" w:styleId="eop">
    <w:name w:val="eop"/>
    <w:basedOn w:val="Domylnaczcionkaakapitu"/>
    <w:rsid w:val="00E0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5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884-7323-442F-ADC6-D8D23B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Wojciech Zdunkiewicz</dc:creator>
  <dc:description/>
  <cp:lastModifiedBy>Wojciech Zdunkiewicz</cp:lastModifiedBy>
  <cp:revision>75</cp:revision>
  <cp:lastPrinted>2023-02-09T17:24:00Z</cp:lastPrinted>
  <dcterms:created xsi:type="dcterms:W3CDTF">2021-07-01T15:33:00Z</dcterms:created>
  <dcterms:modified xsi:type="dcterms:W3CDTF">2026-02-03T18:06:00Z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